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125" w:afterAutospacing="0" w:line="19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15293"/>
          <w:spacing w:val="0"/>
          <w:sz w:val="30"/>
          <w:szCs w:val="30"/>
          <w:bdr w:val="none" w:color="auto" w:sz="0" w:space="0"/>
          <w:shd w:val="clear" w:fill="FFFFFF"/>
        </w:rPr>
        <w:t>上海市材料工程学校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岗位及职数：</w:t>
      </w:r>
    </w:p>
    <w:tbl>
      <w:tblPr>
        <w:tblW w:w="7513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850"/>
        <w:gridCol w:w="885"/>
        <w:gridCol w:w="801"/>
        <w:gridCol w:w="3664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-359" w:right="0" w:firstLine="422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-359" w:right="0" w:firstLine="422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-359" w:right="0" w:firstLine="422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51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   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3" w:hRule="atLeast"/>
          <w:jc w:val="center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301" w:lineRule="atLeast"/>
              <w:ind w:left="-359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语文教师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301" w:lineRule="atLeast"/>
              <w:ind w:left="-359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401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硕士及以上学历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5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400" w:lineRule="atLeast"/>
              <w:ind w:left="0" w:right="0" w:firstLine="42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具有较强的口头表达能力、文字表述能力及信息获取能力；具有高度的工作责任心，有良好的教师职业道德；具备熟练的信息技术应用能力；师范类专业或有教学经历者、具有教师资格证者优先。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301" w:lineRule="atLeast"/>
              <w:ind w:left="-359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英语教师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301" w:lineRule="atLeast"/>
              <w:ind w:left="-359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401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硕士及以上学历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以下</w:t>
            </w:r>
          </w:p>
        </w:tc>
        <w:tc>
          <w:tcPr>
            <w:tcW w:w="5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400" w:lineRule="atLeast"/>
              <w:ind w:left="0" w:right="0" w:firstLine="42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具有较强的口头表达能力、文字表述能力及信息获取能力；具有高度的工作责任心，有良好的教师职业道德；具备熟练的信息技术应用能力；师范类专业或有教学经历者、具有教师资格证者优先。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301" w:lineRule="atLeast"/>
              <w:ind w:left="-359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301" w:lineRule="atLeast"/>
              <w:ind w:left="-359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401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硕士及以上学历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5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400" w:lineRule="atLeast"/>
              <w:ind w:left="0" w:right="0" w:firstLine="42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具有较强的口头表达能力、文字表述能力及信息获取能力；具有高度的工作责任心，有良好的教师职业道德；具备熟练的信息技术应用能力；师范类专业或有教学经历者、具有教师资格证者优先。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  <w:jc w:val="center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301" w:lineRule="atLeast"/>
              <w:ind w:left="-359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301" w:lineRule="atLeast"/>
              <w:ind w:left="-359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401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硕士及以上学历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5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400" w:lineRule="atLeast"/>
              <w:ind w:left="0" w:right="0" w:firstLine="42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具有较强的口头表达能力、文字表述能力及信息获取能力；具有高度的工作责任心，有良好的教师职业道德；具备熟练的信息技术应用能力；师范类专业或有教学经历者、具有教师资格证者、中共党员优先。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  <w:jc w:val="center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301" w:lineRule="atLeast"/>
              <w:ind w:left="-359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301" w:lineRule="atLeast"/>
              <w:ind w:left="-359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401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硕士及以上学历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5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400" w:lineRule="atLeast"/>
              <w:ind w:left="0" w:right="0" w:firstLine="42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专业毕业；热爱教育事业，具有良好的思想品德和职业道德。熟悉新材料发展趋势，熟练掌握高分子材料、金属材料、工程塑料、建筑材料的生产与检测技术；具有较好的分析化学、高分子化学基础。具备教师资格证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13995"/>
    <w:rsid w:val="01A139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2020-05-18T08:39:00Z</dcterms:created>
  <dc:creator>ASUS</dc:creator>
  <cp:lastModifiedBy>ASUS</cp:lastModifiedBy>
  <dcterms:modified xsi:type="dcterms:W3CDTF">2020-05-18T08:39:21Z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